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FC165E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C1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янва</w:t>
            </w:r>
            <w:r w:rsidR="00490AE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30543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084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CB2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F92" w:rsidRDefault="00CB2F92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CB2F92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2F92">
        <w:rPr>
          <w:rFonts w:ascii="Times New Roman" w:eastAsia="Arial Unicode MS" w:hAnsi="Times New Roman"/>
          <w:b/>
          <w:bCs/>
          <w:sz w:val="28"/>
          <w:szCs w:val="28"/>
        </w:rPr>
        <w:t>Об утверждении Программы обучения составов участковых избирательных комиссий и резерва составов участковых избирательных комиссий на 2014 год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F92" w:rsidRPr="004D33E0" w:rsidRDefault="00CB2F92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F92" w:rsidRP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Руководствуясь Программой «Обучение и повышение квалификации организаторов и других участников избирательного процесса и правовой культуры граждан  в Камышловском  городском округе» на 2014 год  и Типовой учебной программой обучения членов участковых избирательных комиссий и резерва составов участковых комиссий «Правовые основы избирательного процесса и организации работы участковой избирательной комиссии», составленной на основе Типовой учебной программы РЦОИТ при ЦИК России, в целях организации учебного процесса по профессиональной подготовке членов участковых избирательных комиссий и резерва составов комиссий, Камышловская городская территориальная избирательная комиссия </w:t>
      </w:r>
      <w:r w:rsidRPr="00CB2F92">
        <w:rPr>
          <w:rFonts w:ascii="Times New Roman" w:hAnsi="Times New Roman"/>
          <w:b/>
          <w:sz w:val="28"/>
          <w:szCs w:val="28"/>
        </w:rPr>
        <w:t>РЕШИЛА:</w:t>
      </w:r>
    </w:p>
    <w:p w:rsidR="00CB2F92" w:rsidRP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1. Утвердить Программу обучения членов участковых избирательных комиссий и резерва составов участковых избирательных комиссий на 2014 год (приложение № 1).</w:t>
      </w:r>
    </w:p>
    <w:p w:rsid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разместить на сайте Комиссии. </w:t>
      </w:r>
    </w:p>
    <w:p w:rsid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2F92" w:rsidRPr="00CB2F92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045E" w:rsidRDefault="00CB2F92" w:rsidP="00CB2F9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2F92">
        <w:rPr>
          <w:rFonts w:ascii="Times New Roman" w:hAnsi="Times New Roman"/>
          <w:sz w:val="28"/>
          <w:szCs w:val="28"/>
        </w:rPr>
        <w:lastRenderedPageBreak/>
        <w:t>3. Контроль исполнения настоящего решения возложить на председателя Комиссии Мотыцкого А.С.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F92" w:rsidRDefault="00CB2F92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2F92" w:rsidRPr="004D33E0" w:rsidRDefault="00CB2F92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CB2F92" w:rsidRDefault="00CB2F92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  <w:r w:rsidR="00CB2F92">
        <w:rPr>
          <w:rFonts w:ascii="Times New Roman" w:eastAsia="Times New Roman" w:hAnsi="Times New Roman"/>
          <w:sz w:val="24"/>
          <w:szCs w:val="24"/>
          <w:lang w:eastAsia="ru-RU"/>
        </w:rPr>
        <w:t xml:space="preserve"> №1</w:t>
      </w:r>
      <w:bookmarkStart w:id="0" w:name="_GoBack"/>
      <w:bookmarkEnd w:id="0"/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CB2F92">
        <w:rPr>
          <w:rFonts w:ascii="Times New Roman" w:eastAsia="Times New Roman" w:hAnsi="Times New Roman"/>
          <w:sz w:val="24"/>
          <w:szCs w:val="24"/>
          <w:lang w:eastAsia="ru-RU"/>
        </w:rPr>
        <w:t>3</w:t>
      </w:r>
    </w:p>
    <w:p w:rsidR="00D0015B" w:rsidRDefault="00D0015B" w:rsidP="00CB2F9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B2F92" w:rsidRPr="00CB2F92" w:rsidRDefault="00CB2F92" w:rsidP="00CB2F92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CB2F92" w:rsidRPr="00CB2F92" w:rsidRDefault="00CB2F92" w:rsidP="00CB2F92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обучения членов участковых избирательных комиссий,</w:t>
      </w:r>
    </w:p>
    <w:p w:rsidR="00CB2F92" w:rsidRPr="00CB2F92" w:rsidRDefault="00CB2F92" w:rsidP="00CB2F92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резерва составов участковых избирательных комиссий</w:t>
      </w:r>
    </w:p>
    <w:p w:rsidR="00CB2F92" w:rsidRPr="00CB2F92" w:rsidRDefault="00CB2F92" w:rsidP="00CB2F92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Камышловского городского округа на 2014 год</w:t>
      </w:r>
    </w:p>
    <w:p w:rsidR="00CB2F92" w:rsidRPr="00CB2F92" w:rsidRDefault="00CB2F92" w:rsidP="00CB2F92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Цель обучения: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Ознакомление слушателей с правовыми основами избирательного права и процесса, приобретение навыков работы участковых избирательных комиссий в период подготовки выборов, в день голосования, при подсчете голосов избирателей и установлении итогов голосования.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Категория слушателей: </w:t>
      </w:r>
      <w:r w:rsidRPr="00CB2F92">
        <w:rPr>
          <w:rFonts w:ascii="Times New Roman" w:hAnsi="Times New Roman"/>
          <w:sz w:val="28"/>
          <w:szCs w:val="28"/>
        </w:rPr>
        <w:t xml:space="preserve">председатель, заместитель председателя, секретарь участковой избирательной комиссии, иные члены участковых избирательных комиссий, резерв составов участковых избирательных комиссий. 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Форма обучения </w:t>
      </w:r>
      <w:r w:rsidRPr="00CB2F92">
        <w:rPr>
          <w:rFonts w:ascii="Times New Roman" w:hAnsi="Times New Roman"/>
          <w:sz w:val="28"/>
          <w:szCs w:val="28"/>
        </w:rPr>
        <w:t>– очная, заочная.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t>Тема 6: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 Организация работы участковой избирательной комиссии в день голосования и в предшествующий ему день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Практическое занятие:</w:t>
      </w:r>
      <w:r w:rsidRPr="00CB2F92">
        <w:rPr>
          <w:rFonts w:ascii="Times New Roman" w:hAnsi="Times New Roman"/>
          <w:sz w:val="28"/>
          <w:szCs w:val="28"/>
        </w:rPr>
        <w:t xml:space="preserve"> 4 академических часа.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Формы обучающих материалов: </w:t>
      </w:r>
      <w:r w:rsidRPr="00CB2F92">
        <w:rPr>
          <w:rFonts w:ascii="Times New Roman" w:hAnsi="Times New Roman"/>
          <w:bCs/>
          <w:sz w:val="28"/>
          <w:szCs w:val="28"/>
        </w:rPr>
        <w:t xml:space="preserve">методические пособия, </w:t>
      </w:r>
      <w:r w:rsidRPr="00CB2F92">
        <w:rPr>
          <w:rFonts w:ascii="Times New Roman" w:hAnsi="Times New Roman"/>
          <w:sz w:val="28"/>
          <w:szCs w:val="28"/>
        </w:rPr>
        <w:t>презентация в электронном виде, сценарии деловых игр.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6.1. Работа участковой избирательной комиссии с избирательными бюллетенями. Порядок получения избирательных бюллетеней, их подготовки </w:t>
      </w:r>
      <w:r w:rsidRPr="00CB2F92">
        <w:rPr>
          <w:rFonts w:ascii="Times New Roman" w:hAnsi="Times New Roman"/>
          <w:sz w:val="28"/>
          <w:szCs w:val="28"/>
        </w:rPr>
        <w:lastRenderedPageBreak/>
        <w:t>к использованию. Вычеркивание данных о выбывших кандидатах. Передача избирательных бюллетеней членам участковой избирательной комиссии для выдачи избирателям. Порядок  хранения избирательных бюллетеней и других избирательных документов.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6.2. Организация работы участковой избирательной комиссии по выдаче, учету и сохранности открепительных удостоверений.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6.3. Работа участковой избирательной комиссии по подготовке помещений для голосования и мест для тайного голосования.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6.4. Взаимодействие участковой избирательной комиссии  с органами местного самоуправления по вопросам подготовки избирательных участков для голосования граждан, являющихся инвалидами. 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6.5. Порядок голосования в помещении для голосования в день голосования: функции председателя, заместителя председателя и секретаря участковой избирательной комиссии.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6.6. Порядок работы участковой избирательной комиссии по организации и проведению голосования избирателей вне помещения для голосования.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6.7. Работа участковой избирательной комиссии по организации и проведению голосования в труднодоступных или отдаленных местностях, в том числе досрочного голосования.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6.8. Порядок подсчета голосов избирателей. Установление итогов голосования. Функции председателя, заместителя председателя и секретаря участковой избирательной комиссии. Повторный подсчет голосов: основания и порядок, составление протокола повторного подсчета голосов.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6.9. работа участковой избирательной комиссии с обращениями, жалобами граждан и иных субъектов избирательного процесса, в том числе порядок обращений, жалоб, заявлений. 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t>Тема 7: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 Использование технических средств подсчета голосов, средств видеонаблюдения и трансляции изображения 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lastRenderedPageBreak/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Практическое занятие:</w:t>
      </w:r>
      <w:r w:rsidRPr="00CB2F92">
        <w:rPr>
          <w:rFonts w:ascii="Times New Roman" w:hAnsi="Times New Roman"/>
          <w:sz w:val="28"/>
          <w:szCs w:val="28"/>
        </w:rPr>
        <w:t xml:space="preserve"> 2 академических часа.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Формы обучающих материалов: </w:t>
      </w:r>
      <w:r w:rsidRPr="00CB2F92">
        <w:rPr>
          <w:rFonts w:ascii="Times New Roman" w:hAnsi="Times New Roman"/>
          <w:bCs/>
          <w:sz w:val="28"/>
          <w:szCs w:val="28"/>
        </w:rPr>
        <w:t xml:space="preserve">методические пособия, </w:t>
      </w:r>
      <w:r w:rsidRPr="00CB2F92">
        <w:rPr>
          <w:rFonts w:ascii="Times New Roman" w:hAnsi="Times New Roman"/>
          <w:sz w:val="28"/>
          <w:szCs w:val="28"/>
        </w:rPr>
        <w:t>презентация в электронном виде, учебный фильм ЦТК России.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7.1. организация работы участковой избирательной комиссии при применении технических средств подсчета голосов избирателей. Применение  комплексов обработки избирательных бюллетеней (КОИБ). Применение комплексов для электронного голосования (КЭГ).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7.2. Организация работы участковой избирательной комиссии в помещении для голосования избирательного участка, оборудованного средствами видеонаблюдения и трансляции изображения.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t>Тема 8: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 Открытость и гласность в деятельности участковых избирательных комиссий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Практическое занятие:</w:t>
      </w:r>
      <w:r w:rsidRPr="00CB2F92">
        <w:rPr>
          <w:rFonts w:ascii="Times New Roman" w:hAnsi="Times New Roman"/>
          <w:sz w:val="28"/>
          <w:szCs w:val="28"/>
        </w:rPr>
        <w:t xml:space="preserve"> 1 академический час.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Формы обучающих материалов: </w:t>
      </w:r>
      <w:r w:rsidRPr="00CB2F92">
        <w:rPr>
          <w:rFonts w:ascii="Times New Roman" w:hAnsi="Times New Roman"/>
          <w:bCs/>
          <w:sz w:val="28"/>
          <w:szCs w:val="28"/>
        </w:rPr>
        <w:t>методическое пособие ТИК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Pr="00CB2F92">
        <w:rPr>
          <w:rFonts w:ascii="Times New Roman" w:hAnsi="Times New Roman"/>
          <w:sz w:val="28"/>
          <w:szCs w:val="28"/>
        </w:rPr>
        <w:t>презентация в электронном виде, учебный видеофильм ЦИК России.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8.1. Взаимодействие участковой избирательной комиссии с наблюдателями, членами участковой избирательной комиссии с правом совещательного голоса.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8.2. Взаимодействие участковой избирательной комиссии с представителями средств массовой информации, кандидатами, присутствующими при голосовании и подсчете голосов избирателей.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lastRenderedPageBreak/>
        <w:t>8.3. Порядок осуществления фото- и видеосъемки на избирательном участке.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t>Тема 9:</w:t>
      </w:r>
      <w:r w:rsidRPr="00CB2F92">
        <w:rPr>
          <w:rFonts w:ascii="Times New Roman" w:hAnsi="Times New Roman"/>
          <w:b/>
          <w:bCs/>
          <w:sz w:val="28"/>
          <w:szCs w:val="28"/>
        </w:rPr>
        <w:t xml:space="preserve"> Правонарушающие ситуации  на избирательном участке и взаимодействие с правоохранительными органами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Практическое занятие:</w:t>
      </w:r>
      <w:r w:rsidRPr="00CB2F92">
        <w:rPr>
          <w:rFonts w:ascii="Times New Roman" w:hAnsi="Times New Roman"/>
          <w:sz w:val="28"/>
          <w:szCs w:val="28"/>
        </w:rPr>
        <w:t xml:space="preserve"> 1 академический час.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Формы обучающих материалов: </w:t>
      </w:r>
      <w:r w:rsidRPr="00CB2F92">
        <w:rPr>
          <w:rFonts w:ascii="Times New Roman" w:hAnsi="Times New Roman"/>
          <w:bCs/>
          <w:sz w:val="28"/>
          <w:szCs w:val="28"/>
        </w:rPr>
        <w:t>учебно</w:t>
      </w:r>
      <w:r w:rsidRPr="00CB2F92">
        <w:rPr>
          <w:rFonts w:ascii="Times New Roman" w:hAnsi="Times New Roman"/>
          <w:b/>
          <w:bCs/>
          <w:sz w:val="28"/>
          <w:szCs w:val="28"/>
        </w:rPr>
        <w:t>-</w:t>
      </w:r>
      <w:r w:rsidRPr="00CB2F92">
        <w:rPr>
          <w:rFonts w:ascii="Times New Roman" w:hAnsi="Times New Roman"/>
          <w:sz w:val="28"/>
          <w:szCs w:val="28"/>
        </w:rPr>
        <w:t>методическое пособие ТИК, презентация по теме, учебный видеофильм ЦИК России.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9.1. Правонарушающие ситуации на избирательном участке.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9.2. Взаимодействие участковой избирательной комиссии с правоохранительными органами.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9.3. Управление конфликтами в избирательном процессе: пути профилактики и устранения.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t xml:space="preserve">Тема 10: </w:t>
      </w:r>
      <w:r w:rsidRPr="00CB2F92">
        <w:rPr>
          <w:rFonts w:ascii="Times New Roman" w:hAnsi="Times New Roman"/>
          <w:b/>
          <w:bCs/>
          <w:sz w:val="28"/>
          <w:szCs w:val="28"/>
        </w:rPr>
        <w:t>Юридическая ответственность и правовые санкции за нарушение избирательного законодательства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Самоподготовка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Формы обучающих материалов:</w:t>
      </w:r>
      <w:r w:rsidRPr="00CB2F92">
        <w:rPr>
          <w:rFonts w:ascii="Times New Roman" w:hAnsi="Times New Roman"/>
          <w:sz w:val="28"/>
          <w:szCs w:val="28"/>
        </w:rPr>
        <w:t xml:space="preserve"> справочный материал ТИК.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10.1. Общие положения о юридической ответственности в избирательном процессе.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10.2. Ответственность членов участковой избирательной комиссии.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10.3. Ответственность и правовые санкции за нарушение законодательства лицами, находящимися в помещении избирательной комиссии.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CB2F92">
        <w:rPr>
          <w:rFonts w:ascii="Times New Roman" w:hAnsi="Times New Roman"/>
          <w:bCs/>
          <w:sz w:val="28"/>
          <w:szCs w:val="28"/>
        </w:rPr>
        <w:lastRenderedPageBreak/>
        <w:t xml:space="preserve">Тема 11: </w:t>
      </w:r>
      <w:r w:rsidRPr="00CB2F92">
        <w:rPr>
          <w:rFonts w:ascii="Times New Roman" w:hAnsi="Times New Roman"/>
          <w:b/>
          <w:bCs/>
          <w:sz w:val="28"/>
          <w:szCs w:val="28"/>
        </w:rPr>
        <w:t>Финансовая отчетность участковой избирательной комиссии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обучающихся: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Практическое занятие: </w:t>
      </w:r>
      <w:r w:rsidRPr="00CB2F92">
        <w:rPr>
          <w:rFonts w:ascii="Times New Roman" w:hAnsi="Times New Roman"/>
          <w:sz w:val="28"/>
          <w:szCs w:val="28"/>
        </w:rPr>
        <w:t>1 академический час.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Формы обучающих материалов:</w:t>
      </w:r>
      <w:r w:rsidRPr="00CB2F92">
        <w:rPr>
          <w:rFonts w:ascii="Times New Roman" w:hAnsi="Times New Roman"/>
          <w:sz w:val="28"/>
          <w:szCs w:val="28"/>
        </w:rPr>
        <w:t xml:space="preserve"> методическое пособие ТИК.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 xml:space="preserve">11.1. Финансирование деятельности участковых избирательных комиссий при проведении выборов различных уровней. Порядок дополнительной оплаты труда (вознаграждения) членов участковой избирательной комиссии. Ведение табеля учета рабочего времени членов участковой избирательной комиссии. Составление и утверждение графика работы членов участковой избирательной комиссии. Взаимодействие вышестоящих и нижестоящих избирательных комиссий по вопросами финансирования комиссий. 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11.2. Смета  расходов участковой избирательной комиссии. Расходы участковых избирательных комиссий. Порядок составления и исполнения сметы расходов участковой избирательной комиссии при подготовке и проведении выборов и референдумов.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sz w:val="28"/>
          <w:szCs w:val="28"/>
        </w:rPr>
        <w:t>11.3. Отчетность участковой избирательной комиссии о расходовании бюджетных средств.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>Итоговое занятие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bCs/>
          <w:sz w:val="28"/>
          <w:szCs w:val="28"/>
        </w:rPr>
        <w:t xml:space="preserve">Категории тестируемых: </w:t>
      </w:r>
      <w:r w:rsidRPr="00CB2F92">
        <w:rPr>
          <w:rFonts w:ascii="Times New Roman" w:hAnsi="Times New Roman"/>
          <w:sz w:val="28"/>
          <w:szCs w:val="28"/>
        </w:rPr>
        <w:t>председатели, заместители председателей и секретари участковых избирательных комиссий, члены участковых избирательных комиссий, резерв составов участковых избирательных комиссий.</w:t>
      </w:r>
    </w:p>
    <w:p w:rsidR="00CB2F92" w:rsidRPr="00CB2F92" w:rsidRDefault="00CB2F92" w:rsidP="00CB2F9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2F92">
        <w:rPr>
          <w:rFonts w:ascii="Times New Roman" w:hAnsi="Times New Roman"/>
          <w:b/>
          <w:sz w:val="28"/>
          <w:szCs w:val="28"/>
        </w:rPr>
        <w:t>Тестирование</w:t>
      </w:r>
      <w:r w:rsidRPr="00CB2F92">
        <w:rPr>
          <w:rFonts w:ascii="Times New Roman" w:hAnsi="Times New Roman"/>
          <w:sz w:val="28"/>
          <w:szCs w:val="28"/>
        </w:rPr>
        <w:t>: 1 час.</w:t>
      </w:r>
    </w:p>
    <w:p w:rsidR="00CB2F92" w:rsidRDefault="00CB2F92" w:rsidP="00CB2F9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CB2F92" w:rsidRPr="00D0015B" w:rsidRDefault="00CB2F92" w:rsidP="00D0015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CB2F92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E9" w:rsidRDefault="00004AE9">
      <w:pPr>
        <w:spacing w:after="0" w:line="240" w:lineRule="auto"/>
      </w:pPr>
      <w:r>
        <w:separator/>
      </w:r>
    </w:p>
  </w:endnote>
  <w:endnote w:type="continuationSeparator" w:id="0">
    <w:p w:rsidR="00004AE9" w:rsidRDefault="00004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E9" w:rsidRDefault="00004AE9">
      <w:pPr>
        <w:spacing w:after="0" w:line="240" w:lineRule="auto"/>
      </w:pPr>
      <w:r>
        <w:separator/>
      </w:r>
    </w:p>
  </w:footnote>
  <w:footnote w:type="continuationSeparator" w:id="0">
    <w:p w:rsidR="00004AE9" w:rsidRDefault="00004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2F92">
      <w:rPr>
        <w:rStyle w:val="a5"/>
        <w:noProof/>
      </w:rPr>
      <w:t>3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1399"/>
    <w:multiLevelType w:val="hybridMultilevel"/>
    <w:tmpl w:val="72C2FA9E"/>
    <w:lvl w:ilvl="0" w:tplc="52C824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737E9"/>
    <w:multiLevelType w:val="hybridMultilevel"/>
    <w:tmpl w:val="2E106F92"/>
    <w:lvl w:ilvl="0" w:tplc="39527A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BB6022E"/>
    <w:multiLevelType w:val="hybridMultilevel"/>
    <w:tmpl w:val="8B886434"/>
    <w:lvl w:ilvl="0" w:tplc="DF9C0C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FE97DD2"/>
    <w:multiLevelType w:val="hybridMultilevel"/>
    <w:tmpl w:val="F8407BA0"/>
    <w:lvl w:ilvl="0" w:tplc="BA783F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C26F2"/>
    <w:multiLevelType w:val="hybridMultilevel"/>
    <w:tmpl w:val="6D968A90"/>
    <w:lvl w:ilvl="0" w:tplc="13D2B4EC">
      <w:start w:val="1"/>
      <w:numFmt w:val="decimal"/>
      <w:lvlText w:val="%1."/>
      <w:lvlJc w:val="left"/>
      <w:pPr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42B67A42"/>
    <w:multiLevelType w:val="hybridMultilevel"/>
    <w:tmpl w:val="FCBC72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37B1A5C"/>
    <w:multiLevelType w:val="hybridMultilevel"/>
    <w:tmpl w:val="2ED88C68"/>
    <w:lvl w:ilvl="0" w:tplc="B3C4E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9743DF"/>
    <w:multiLevelType w:val="hybridMultilevel"/>
    <w:tmpl w:val="22DEF4E4"/>
    <w:lvl w:ilvl="0" w:tplc="45EE369A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84371A2"/>
    <w:multiLevelType w:val="hybridMultilevel"/>
    <w:tmpl w:val="ACD615D0"/>
    <w:lvl w:ilvl="0" w:tplc="9C54B7EE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4DD7032E"/>
    <w:multiLevelType w:val="hybridMultilevel"/>
    <w:tmpl w:val="0BEA6AA6"/>
    <w:lvl w:ilvl="0" w:tplc="C6762C26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644423F"/>
    <w:multiLevelType w:val="hybridMultilevel"/>
    <w:tmpl w:val="F57C4B86"/>
    <w:lvl w:ilvl="0" w:tplc="FFA29D96">
      <w:start w:val="4"/>
      <w:numFmt w:val="decimal"/>
      <w:lvlText w:val="%1."/>
      <w:lvlJc w:val="left"/>
      <w:pPr>
        <w:ind w:left="13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11">
    <w:nsid w:val="6B4A482B"/>
    <w:multiLevelType w:val="hybridMultilevel"/>
    <w:tmpl w:val="6A14DC52"/>
    <w:lvl w:ilvl="0" w:tplc="518A70F2">
      <w:start w:val="1"/>
      <w:numFmt w:val="decimal"/>
      <w:lvlText w:val="%1."/>
      <w:lvlJc w:val="left"/>
      <w:pPr>
        <w:ind w:left="161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C677CD3"/>
    <w:multiLevelType w:val="hybridMultilevel"/>
    <w:tmpl w:val="8FF2E308"/>
    <w:lvl w:ilvl="0" w:tplc="EF0E935A">
      <w:start w:val="1"/>
      <w:numFmt w:val="decimal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>
    <w:nsid w:val="7027662B"/>
    <w:multiLevelType w:val="hybridMultilevel"/>
    <w:tmpl w:val="172C45F0"/>
    <w:lvl w:ilvl="0" w:tplc="63DE99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4413B6"/>
    <w:multiLevelType w:val="hybridMultilevel"/>
    <w:tmpl w:val="E7A2CC9E"/>
    <w:lvl w:ilvl="0" w:tplc="3412E154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93D79D6"/>
    <w:multiLevelType w:val="hybridMultilevel"/>
    <w:tmpl w:val="6D968A90"/>
    <w:lvl w:ilvl="0" w:tplc="13D2B4EC">
      <w:start w:val="1"/>
      <w:numFmt w:val="decimal"/>
      <w:lvlText w:val="%1."/>
      <w:lvlJc w:val="left"/>
      <w:pPr>
        <w:ind w:left="824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9"/>
  </w:num>
  <w:num w:numId="6">
    <w:abstractNumId w:val="2"/>
  </w:num>
  <w:num w:numId="7">
    <w:abstractNumId w:val="12"/>
  </w:num>
  <w:num w:numId="8">
    <w:abstractNumId w:val="14"/>
  </w:num>
  <w:num w:numId="9">
    <w:abstractNumId w:val="10"/>
  </w:num>
  <w:num w:numId="10">
    <w:abstractNumId w:val="4"/>
  </w:num>
  <w:num w:numId="11">
    <w:abstractNumId w:val="15"/>
  </w:num>
  <w:num w:numId="12">
    <w:abstractNumId w:val="8"/>
  </w:num>
  <w:num w:numId="13">
    <w:abstractNumId w:val="11"/>
  </w:num>
  <w:num w:numId="14">
    <w:abstractNumId w:val="7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4AE9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94041"/>
    <w:rsid w:val="00CA45EC"/>
    <w:rsid w:val="00CB2F92"/>
    <w:rsid w:val="00CC57D1"/>
    <w:rsid w:val="00D0015B"/>
    <w:rsid w:val="00D3025A"/>
    <w:rsid w:val="00D33234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93EE1"/>
    <w:rsid w:val="00EF1ECA"/>
    <w:rsid w:val="00F14F76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B2F92"/>
    <w:pPr>
      <w:keepNext/>
      <w:spacing w:after="0" w:line="240" w:lineRule="auto"/>
      <w:jc w:val="both"/>
      <w:outlineLvl w:val="0"/>
    </w:pPr>
    <w:rPr>
      <w:rFonts w:ascii="Times New Roman CYR" w:eastAsia="Times New Roman" w:hAnsi="Times New Roman CYR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B2F92"/>
    <w:pPr>
      <w:keepNext/>
      <w:spacing w:after="0" w:line="360" w:lineRule="auto"/>
      <w:outlineLvl w:val="1"/>
    </w:pPr>
    <w:rPr>
      <w:rFonts w:ascii="Times New Roman" w:eastAsia="Arial Unicode MS" w:hAnsi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CB2F9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CB2F92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uiPriority w:val="99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uiPriority w:val="99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uiPriority w:val="99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character" w:customStyle="1" w:styleId="10">
    <w:name w:val="Заголовок 1 Знак"/>
    <w:link w:val="1"/>
    <w:rsid w:val="00CB2F92"/>
    <w:rPr>
      <w:rFonts w:ascii="Times New Roman CYR" w:eastAsia="Times New Roman" w:hAnsi="Times New Roman CYR"/>
      <w:sz w:val="28"/>
    </w:rPr>
  </w:style>
  <w:style w:type="character" w:customStyle="1" w:styleId="20">
    <w:name w:val="Заголовок 2 Знак"/>
    <w:link w:val="2"/>
    <w:rsid w:val="00CB2F92"/>
    <w:rPr>
      <w:rFonts w:ascii="Times New Roman" w:eastAsia="Arial Unicode MS" w:hAnsi="Times New Roman"/>
      <w:sz w:val="28"/>
      <w:szCs w:val="28"/>
    </w:rPr>
  </w:style>
  <w:style w:type="character" w:customStyle="1" w:styleId="60">
    <w:name w:val="Заголовок 6 Знак"/>
    <w:link w:val="6"/>
    <w:rsid w:val="00CB2F92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CB2F92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CB2F92"/>
    <w:pPr>
      <w:spacing w:after="0" w:line="240" w:lineRule="auto"/>
      <w:ind w:firstLine="720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30">
    <w:name w:val="Основной текст с отступом 3 Знак"/>
    <w:link w:val="3"/>
    <w:rsid w:val="00CB2F92"/>
    <w:rPr>
      <w:rFonts w:ascii="Times New Roman CYR" w:eastAsia="Times New Roman" w:hAnsi="Times New Roman CYR"/>
      <w:sz w:val="28"/>
    </w:rPr>
  </w:style>
  <w:style w:type="paragraph" w:styleId="21">
    <w:name w:val="Body Text Indent 2"/>
    <w:basedOn w:val="a"/>
    <w:link w:val="22"/>
    <w:rsid w:val="00CB2F92"/>
    <w:pPr>
      <w:spacing w:after="120" w:line="48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rsid w:val="00CB2F92"/>
    <w:rPr>
      <w:rFonts w:ascii="Times New Roman CYR" w:eastAsia="Times New Roman" w:hAnsi="Times New Roman CYR"/>
    </w:rPr>
  </w:style>
  <w:style w:type="paragraph" w:customStyle="1" w:styleId="ab">
    <w:name w:val="Документ ИКСО"/>
    <w:basedOn w:val="a"/>
    <w:link w:val="ac"/>
    <w:rsid w:val="00CB2F92"/>
    <w:pPr>
      <w:spacing w:before="120" w:after="0" w:line="360" w:lineRule="auto"/>
      <w:ind w:firstLine="709"/>
      <w:jc w:val="both"/>
    </w:pPr>
    <w:rPr>
      <w:rFonts w:ascii="Times New Roman CYR" w:eastAsia="Times New Roman" w:hAnsi="Times New Roman CYR"/>
      <w:sz w:val="28"/>
      <w:szCs w:val="20"/>
      <w:lang w:val="x-none" w:eastAsia="x-none"/>
    </w:rPr>
  </w:style>
  <w:style w:type="paragraph" w:styleId="31">
    <w:name w:val="Body Text 3"/>
    <w:basedOn w:val="a"/>
    <w:link w:val="32"/>
    <w:rsid w:val="00CB2F92"/>
    <w:pPr>
      <w:spacing w:after="120" w:line="240" w:lineRule="auto"/>
    </w:pPr>
    <w:rPr>
      <w:rFonts w:ascii="Times New Roman CYR" w:eastAsia="Times New Roman" w:hAnsi="Times New Roman CYR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CB2F92"/>
    <w:rPr>
      <w:rFonts w:ascii="Times New Roman CYR" w:eastAsia="Times New Roman" w:hAnsi="Times New Roman CYR"/>
      <w:sz w:val="16"/>
      <w:szCs w:val="16"/>
    </w:rPr>
  </w:style>
  <w:style w:type="paragraph" w:customStyle="1" w:styleId="11">
    <w:name w:val="заголовок 1"/>
    <w:basedOn w:val="a"/>
    <w:next w:val="a"/>
    <w:rsid w:val="00CB2F92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table" w:styleId="ad">
    <w:name w:val="Table Grid"/>
    <w:basedOn w:val="a1"/>
    <w:rsid w:val="00CB2F9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CB2F92"/>
    <w:pPr>
      <w:spacing w:after="120" w:line="240" w:lineRule="auto"/>
      <w:ind w:left="283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">
    <w:name w:val="Основной текст с отступом Знак"/>
    <w:link w:val="ae"/>
    <w:rsid w:val="00CB2F92"/>
    <w:rPr>
      <w:rFonts w:ascii="Times New Roman CYR" w:eastAsia="Times New Roman" w:hAnsi="Times New Roman CYR"/>
    </w:rPr>
  </w:style>
  <w:style w:type="paragraph" w:styleId="23">
    <w:name w:val="Body Text 2"/>
    <w:basedOn w:val="a"/>
    <w:link w:val="24"/>
    <w:uiPriority w:val="99"/>
    <w:rsid w:val="00CB2F92"/>
    <w:pPr>
      <w:spacing w:after="120" w:line="48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24">
    <w:name w:val="Основной текст 2 Знак"/>
    <w:link w:val="23"/>
    <w:uiPriority w:val="99"/>
    <w:rsid w:val="00CB2F92"/>
    <w:rPr>
      <w:rFonts w:ascii="Times New Roman CYR" w:eastAsia="Times New Roman" w:hAnsi="Times New Roman CYR"/>
    </w:rPr>
  </w:style>
  <w:style w:type="paragraph" w:customStyle="1" w:styleId="ConsTitle">
    <w:name w:val="ConsTitle"/>
    <w:rsid w:val="00CB2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f0">
    <w:name w:val="Balloon Text"/>
    <w:basedOn w:val="a"/>
    <w:link w:val="af1"/>
    <w:uiPriority w:val="99"/>
    <w:semiHidden/>
    <w:rsid w:val="00CB2F9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uiPriority w:val="99"/>
    <w:semiHidden/>
    <w:rsid w:val="00CB2F92"/>
    <w:rPr>
      <w:rFonts w:ascii="Tahoma" w:eastAsia="Times New Roman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CB2F92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B2F92"/>
    <w:rPr>
      <w:rFonts w:ascii="Times New Roman" w:hAnsi="Times New Roman" w:cs="Times New Roman"/>
      <w:sz w:val="26"/>
      <w:szCs w:val="26"/>
    </w:rPr>
  </w:style>
  <w:style w:type="paragraph" w:styleId="af2">
    <w:name w:val="caption"/>
    <w:basedOn w:val="a"/>
    <w:next w:val="a"/>
    <w:qFormat/>
    <w:rsid w:val="00CB2F92"/>
    <w:pPr>
      <w:spacing w:after="0" w:line="240" w:lineRule="auto"/>
    </w:pPr>
    <w:rPr>
      <w:rFonts w:ascii="Times New Roman CYR" w:eastAsia="Times New Roman" w:hAnsi="Times New Roman CYR"/>
      <w:b/>
      <w:bCs/>
      <w:sz w:val="20"/>
      <w:szCs w:val="20"/>
      <w:lang w:eastAsia="ru-RU"/>
    </w:rPr>
  </w:style>
  <w:style w:type="paragraph" w:styleId="af3">
    <w:name w:val="footnote text"/>
    <w:basedOn w:val="a"/>
    <w:link w:val="af4"/>
    <w:rsid w:val="00CB2F92"/>
    <w:pPr>
      <w:spacing w:after="0" w:line="240" w:lineRule="auto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customStyle="1" w:styleId="af4">
    <w:name w:val="Текст сноски Знак"/>
    <w:link w:val="af3"/>
    <w:rsid w:val="00CB2F92"/>
    <w:rPr>
      <w:rFonts w:ascii="Times New Roman CYR" w:eastAsia="Times New Roman" w:hAnsi="Times New Roman CYR"/>
    </w:rPr>
  </w:style>
  <w:style w:type="character" w:styleId="af5">
    <w:name w:val="footnote reference"/>
    <w:rsid w:val="00CB2F92"/>
    <w:rPr>
      <w:vertAlign w:val="superscript"/>
    </w:rPr>
  </w:style>
  <w:style w:type="character" w:styleId="af6">
    <w:name w:val="Strong"/>
    <w:qFormat/>
    <w:rsid w:val="00CB2F92"/>
    <w:rPr>
      <w:b/>
      <w:bCs/>
    </w:rPr>
  </w:style>
  <w:style w:type="character" w:customStyle="1" w:styleId="ac">
    <w:name w:val="Документ ИКСО Знак"/>
    <w:link w:val="ab"/>
    <w:locked/>
    <w:rsid w:val="00CB2F92"/>
    <w:rPr>
      <w:rFonts w:ascii="Times New Roman CYR" w:eastAsia="Times New Roman" w:hAnsi="Times New Roman CYR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1327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2016-03-30T06:58:00Z</dcterms:created>
  <dcterms:modified xsi:type="dcterms:W3CDTF">2016-03-30T06:58:00Z</dcterms:modified>
</cp:coreProperties>
</file>